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88" w:rsidRDefault="00722F88" w:rsidP="00722F8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F06C7" w:rsidRDefault="004C0922" w:rsidP="00D2593C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CURSO DE POSGRADO: </w:t>
      </w:r>
      <w:r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Fundamentos de Sistemas de Información Geográfica (SIG</w:t>
      </w:r>
      <w:r w:rsidR="00A054E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)</w:t>
      </w:r>
    </w:p>
    <w:p w:rsidR="004C0922" w:rsidRDefault="004C0922" w:rsidP="00D2593C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</w:p>
    <w:p w:rsidR="004B5627" w:rsidRPr="004B5627" w:rsidRDefault="00D2593C" w:rsidP="004B562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LUGAR</w:t>
      </w:r>
      <w:r w:rsidR="00AF2BD6">
        <w:rPr>
          <w:rFonts w:ascii="Arial" w:hAnsi="Arial" w:cs="Arial"/>
          <w:color w:val="000000"/>
          <w:sz w:val="24"/>
          <w:szCs w:val="24"/>
        </w:rPr>
        <w:t xml:space="preserve"> DE REALIZACION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UNVIME – Sala de computación II</w:t>
      </w:r>
    </w:p>
    <w:p w:rsidR="00AF06C7" w:rsidRDefault="00AF06C7" w:rsidP="00D2593C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</w:p>
    <w:p w:rsidR="00D2593C" w:rsidRDefault="00D2593C" w:rsidP="00D2593C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DURACION: </w:t>
      </w:r>
      <w:r w:rsidR="00B477BE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 w:rsid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10 semanas  </w:t>
      </w:r>
    </w:p>
    <w:p w:rsidR="00AF06C7" w:rsidRDefault="00AF06C7" w:rsidP="00D2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477BE" w:rsidRDefault="00D2593C" w:rsidP="00D2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FECHA</w:t>
      </w:r>
      <w:r w:rsidR="00A054E7">
        <w:rPr>
          <w:rFonts w:ascii="Arial" w:hAnsi="Arial" w:cs="Arial"/>
          <w:color w:val="000000"/>
          <w:sz w:val="24"/>
          <w:szCs w:val="24"/>
        </w:rPr>
        <w:t xml:space="preserve">: </w:t>
      </w:r>
      <w:r w:rsidR="00A054E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10</w:t>
      </w:r>
      <w:r w:rsid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de mayo </w:t>
      </w:r>
      <w:r w:rsidR="00B477BE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al 1</w:t>
      </w:r>
      <w:r w:rsid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2</w:t>
      </w:r>
      <w:r w:rsid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 w:rsidR="00B477BE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julio</w:t>
      </w:r>
      <w:r w:rsid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 w:rsid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HORARIO</w:t>
      </w:r>
      <w:r w:rsidRPr="00EF32B0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: </w:t>
      </w:r>
      <w:r w:rsid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viernes </w:t>
      </w:r>
      <w:r w:rsidR="00EF32B0" w:rsidRPr="00EF32B0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de</w:t>
      </w:r>
      <w:r w:rsidR="00EF32B0">
        <w:rPr>
          <w:rFonts w:ascii="Arial" w:hAnsi="Arial" w:cs="Arial"/>
          <w:color w:val="000000"/>
          <w:sz w:val="24"/>
          <w:szCs w:val="24"/>
        </w:rPr>
        <w:t xml:space="preserve"> </w:t>
      </w:r>
      <w:r w:rsidR="004C0922">
        <w:rPr>
          <w:rFonts w:ascii="Arial" w:hAnsi="Arial" w:cs="Arial"/>
          <w:color w:val="000000"/>
          <w:sz w:val="24"/>
          <w:szCs w:val="24"/>
        </w:rPr>
        <w:t xml:space="preserve"> </w:t>
      </w:r>
      <w:r w:rsid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9 </w:t>
      </w:r>
      <w:r w:rsidR="00B477BE" w:rsidRPr="00B477BE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a </w:t>
      </w:r>
      <w:r w:rsidR="004B562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1</w:t>
      </w:r>
      <w:r w:rsid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3</w:t>
      </w:r>
      <w:r w:rsidR="00B477BE" w:rsidRPr="00B477BE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hs</w:t>
      </w:r>
      <w:r w:rsidR="00EF32B0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.</w:t>
      </w:r>
    </w:p>
    <w:p w:rsidR="00B477BE" w:rsidRDefault="00B477BE" w:rsidP="00D2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593C" w:rsidRDefault="00D2593C" w:rsidP="00D2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OBJETIVO GENERAL DEL CURSO</w:t>
      </w:r>
      <w:r w:rsidR="00AF06C7">
        <w:rPr>
          <w:rFonts w:ascii="Arial" w:hAnsi="Arial" w:cs="Arial"/>
          <w:color w:val="000000"/>
          <w:sz w:val="24"/>
          <w:szCs w:val="24"/>
        </w:rPr>
        <w:t>:</w:t>
      </w:r>
    </w:p>
    <w:p w:rsidR="00AF06C7" w:rsidRDefault="00AF06C7" w:rsidP="00AF06C7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</w:p>
    <w:p w:rsidR="00FF76EE" w:rsidRPr="004C0922" w:rsidRDefault="004C0922" w:rsidP="00A054E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  <w:r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Los Sistemas de Información Geográfica (SIG) permiten el manejo eficiente los datos espaciales o geodatos. Esto implica desde su captura, procesamiento, análisis y representación final a través de un software y medios digitales. Uno de sus propósitos fundamentales es facilitar la toma de decisiones ante problemas complejos donde las variables intervinientes son principalmente de naturaleza espacial.</w:t>
      </w:r>
      <w:r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 w:rsidR="00D2593C"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El objetivo del curso es </w:t>
      </w:r>
      <w:r w:rsidR="00AF06C7"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brindar el conocimiento y la práctica </w:t>
      </w:r>
      <w:r w:rsidR="00FF76EE"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básica </w:t>
      </w:r>
      <w:r w:rsidR="00AF06C7"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para el uso de </w:t>
      </w:r>
      <w:r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un SIG en forma elemental en diferentes disciplinas</w:t>
      </w:r>
      <w:r w:rsidR="00AF06C7"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.</w:t>
      </w:r>
    </w:p>
    <w:p w:rsidR="00AF06C7" w:rsidRPr="00AF06C7" w:rsidRDefault="00AF06C7" w:rsidP="00AF06C7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</w:p>
    <w:p w:rsidR="00D2593C" w:rsidRDefault="00D2593C" w:rsidP="00D2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CARACTERÍSTICAS DEL CURSO</w:t>
      </w:r>
    </w:p>
    <w:p w:rsidR="00AF06C7" w:rsidRDefault="00AF06C7" w:rsidP="00D2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593C" w:rsidRPr="00AF06C7" w:rsidRDefault="00D2593C" w:rsidP="00A054E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  <w:r w:rsidRP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Este es un curso de nivel básico</w:t>
      </w:r>
      <w:r w:rsidR="00B50304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,</w:t>
      </w:r>
      <w:r w:rsidRP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 w:rsidR="00AF06C7" w:rsidRP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configurado como</w:t>
      </w:r>
      <w:r w:rsidRP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un taller </w:t>
      </w:r>
      <w:r w:rsidR="00C00450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con actividades </w:t>
      </w:r>
      <w:r w:rsidR="00FF76EE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8</w:t>
      </w:r>
      <w:r w:rsidR="00C00450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0% prácticas</w:t>
      </w:r>
      <w:r w:rsidRP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.</w:t>
      </w:r>
    </w:p>
    <w:p w:rsidR="00AF2BD6" w:rsidRDefault="00194E4B" w:rsidP="00A054E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  <w:r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La modalidad consiste en el </w:t>
      </w:r>
      <w:r w:rsidR="00D2593C"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desarroll</w:t>
      </w:r>
      <w:r w:rsidR="00AF2BD6"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o</w:t>
      </w:r>
      <w:r w:rsidR="00D2593C"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 w:rsidR="00B50304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de tutoriales con</w:t>
      </w:r>
      <w:r w:rsidR="00C00450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ejercicios </w:t>
      </w:r>
      <w:r w:rsidR="00FF76EE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específicamente diseñados p</w:t>
      </w:r>
      <w:r w:rsidR="00B50304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ara </w:t>
      </w:r>
      <w:r w:rsidR="00FF76EE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el curso</w:t>
      </w:r>
      <w:r w:rsid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.</w:t>
      </w:r>
    </w:p>
    <w:p w:rsidR="00D2593C" w:rsidRPr="00AF2BD6" w:rsidRDefault="00194E4B" w:rsidP="00A054E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  <w:r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L</w:t>
      </w:r>
      <w:r w:rsidR="00D2593C"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os insumos para las prácticas serán datos tabulares, mapas vectoriales e</w:t>
      </w:r>
      <w:r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 w:rsidR="00D2593C"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imágenes satelitales raster</w:t>
      </w:r>
      <w:r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provistas mayoritariamente con el software</w:t>
      </w:r>
      <w:r w:rsidR="00C00450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y en otros casos de elaboración propia</w:t>
      </w:r>
      <w:r w:rsidR="00D2593C" w:rsidRPr="00AF2BD6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.</w:t>
      </w:r>
    </w:p>
    <w:p w:rsidR="00194E4B" w:rsidRPr="00194E4B" w:rsidRDefault="00194E4B" w:rsidP="00A054E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</w:p>
    <w:p w:rsidR="00194E4B" w:rsidRDefault="004C0922" w:rsidP="00D2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EVALUACION</w:t>
      </w:r>
    </w:p>
    <w:p w:rsidR="004C0922" w:rsidRDefault="004C0922" w:rsidP="00D2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0922" w:rsidRPr="00AF06C7" w:rsidRDefault="004C0922" w:rsidP="004C092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La</w:t>
      </w:r>
      <w:r w:rsidRP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e</w:t>
      </w:r>
      <w:r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valuación </w:t>
      </w:r>
      <w:r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será </w:t>
      </w:r>
      <w:r w:rsidRPr="004C0922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mediante la presentación de diferentes casos de estudio con SIG</w:t>
      </w:r>
      <w:r w:rsidRPr="00AF06C7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>.</w:t>
      </w:r>
      <w:r w:rsidR="001C1C89">
        <w:rPr>
          <w:rFonts w:ascii="TimesNewRoman,BoldItalic" w:hAnsi="TimesNewRoman,BoldItalic" w:cs="TimesNewRoman,BoldItalic"/>
          <w:b/>
          <w:bCs/>
          <w:i/>
          <w:iCs/>
          <w:color w:val="003366"/>
          <w:sz w:val="24"/>
          <w:szCs w:val="24"/>
        </w:rPr>
        <w:t xml:space="preserve"> Se expedirán certificados y resolución de la UNVIME.</w:t>
      </w:r>
    </w:p>
    <w:p w:rsidR="004C0922" w:rsidRDefault="004C0922" w:rsidP="00D2593C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3366"/>
          <w:sz w:val="24"/>
          <w:szCs w:val="24"/>
        </w:rPr>
      </w:pPr>
    </w:p>
    <w:p w:rsidR="00AF2BD6" w:rsidRDefault="00C86780" w:rsidP="00194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0CB19A" wp14:editId="07064C79">
            <wp:simplePos x="0" y="0"/>
            <wp:positionH relativeFrom="column">
              <wp:posOffset>3621405</wp:posOffset>
            </wp:positionH>
            <wp:positionV relativeFrom="paragraph">
              <wp:posOffset>113665</wp:posOffset>
            </wp:positionV>
            <wp:extent cx="1247775" cy="106108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Digital 2015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BD6" w:rsidRDefault="00AF2BD6" w:rsidP="00194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60DC" w:rsidRDefault="003B60DC" w:rsidP="00194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60DC" w:rsidRDefault="003B60DC" w:rsidP="00194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76EE" w:rsidRDefault="00D2593C" w:rsidP="00FF76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Dr. Guillermo Ojeda</w:t>
      </w:r>
    </w:p>
    <w:p w:rsidR="001C1C89" w:rsidRDefault="00FF76EE" w:rsidP="00FF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</w:p>
    <w:p w:rsidR="001C1C89" w:rsidRDefault="001C1C89" w:rsidP="00FF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76EE" w:rsidRDefault="00FF76EE" w:rsidP="00FF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</w:t>
      </w:r>
    </w:p>
    <w:p w:rsidR="001C1C89" w:rsidRDefault="001C1C89" w:rsidP="00543CF2">
      <w:pPr>
        <w:shd w:val="clear" w:color="auto" w:fill="FFFFFF"/>
        <w:spacing w:line="288" w:lineRule="atLeast"/>
        <w:jc w:val="both"/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lastRenderedPageBreak/>
        <w:t>CONTENIDOS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74352C" w:rsidRPr="0074352C" w:rsidTr="001115B5">
        <w:tc>
          <w:tcPr>
            <w:tcW w:w="9039" w:type="dxa"/>
          </w:tcPr>
          <w:p w:rsidR="001C1C89" w:rsidRPr="0074352C" w:rsidRDefault="001C1C89" w:rsidP="0011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 w:themeColor="text2"/>
                <w:lang w:val="es-ES" w:eastAsia="es-ES"/>
              </w:rPr>
            </w:pP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UNIDAD 1 – LOS SISTEMAS DE INFORMACION GEOGRAFICA  (SIG)</w:t>
            </w:r>
          </w:p>
          <w:p w:rsidR="001C1C89" w:rsidRPr="0074352C" w:rsidRDefault="001C1C89" w:rsidP="001115B5">
            <w:pPr>
              <w:ind w:right="243"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Teoría</w:t>
            </w:r>
          </w:p>
          <w:p w:rsidR="001C1C89" w:rsidRPr="0074352C" w:rsidRDefault="001C1C89" w:rsidP="001115B5">
            <w:pPr>
              <w:ind w:right="243"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Los Sistemas de Información Geográfica: Conceptos y definiciones. Subsistemas de un SIG. Programas comerciales y de uso libre. Concepto de dato e información espacial. Variables: numéricas y no numéricas,  discretas y continuas, su representación en un SIG mediante modelos raster o vector. Datos no espaciales o de atributos: definición, estructura de almacenamiento. Ejemplos de aplicación. El SIG QGIS.</w:t>
            </w:r>
          </w:p>
          <w:p w:rsidR="001C1C89" w:rsidRPr="0074352C" w:rsidRDefault="001C1C89" w:rsidP="001115B5">
            <w:pPr>
              <w:ind w:right="243"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Práctica</w:t>
            </w:r>
          </w:p>
          <w:p w:rsidR="001C1C89" w:rsidRPr="0074352C" w:rsidRDefault="001C1C89" w:rsidP="001115B5">
            <w:pPr>
              <w:ind w:right="243"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</w:rPr>
              <w:t>Reconocimiento y personalización de la interface gráfica de QGIS: el menú principal, los paneles y las barras de herramientas. Despliegue de gráfico de capas. Selección de datos y consultas sencillas. Propiedades de un objeto: modificación de los colores y símbolos de representación. Despliegue de la tabla de atributos de una capa en QGIS.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 xml:space="preserve">UNIDAD 2  - ENTRADA DE DATOS ESPACIALES 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Teoría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 xml:space="preserve">Fuente de datos en un SIG. Conversión analógico-digital: Digitalización de capas de puntos, segmentos y polígonos. Conceptos básicos sobre Topología. Sistemas de Coordenadas: Coordenadas geográficas y planas, conceptos de Elipsoide, Datum y geometrías de proyecciones, códigos EPSG, proyecciones al vuelo en QGIS. 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Práctica</w:t>
            </w:r>
          </w:p>
          <w:p w:rsidR="001C1C89" w:rsidRPr="0074352C" w:rsidRDefault="001C1C89" w:rsidP="001115B5">
            <w:pPr>
              <w:jc w:val="both"/>
              <w:rPr>
                <w:rFonts w:ascii="Arial" w:eastAsia="Arial" w:hAnsi="Arial" w:cs="Arial"/>
                <w:color w:val="1F497D" w:themeColor="text2"/>
                <w:spacing w:val="1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lang w:val="es-ES"/>
              </w:rPr>
              <w:t>Creación de capas shapefiles: digitalización en pantalla de mapas de puntos, segmentos y polígonos. La barra de herramientas Edición: Edición de capas vectoriales y correcciones de errores topológicos, establecer tolerancia autoensamblado (snapping), digitalización a partir de mapas e imágenes. Importar/exportar datos espaciales.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UNIDAD 3 –MANEJO DE DATOS NO ESPACIALES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Teoría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lastRenderedPageBreak/>
              <w:t xml:space="preserve">La componente no espacial del dato geográfico: Conceptos y definiciones. Estructura de almacenamiento de los datos no espaciales: la tabla de atributos, tipos de datos o variables de atributos. Modelos de Bases de Datos </w:t>
            </w:r>
            <w:proofErr w:type="spellStart"/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Georrelacional</w:t>
            </w:r>
            <w:proofErr w:type="spellEnd"/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.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Práctica</w:t>
            </w:r>
          </w:p>
          <w:p w:rsidR="001C1C89" w:rsidRPr="0074352C" w:rsidRDefault="001C1C89" w:rsidP="001115B5">
            <w:pPr>
              <w:jc w:val="both"/>
              <w:rPr>
                <w:rFonts w:ascii="Arial" w:eastAsia="Arial" w:hAnsi="Arial" w:cs="Arial"/>
                <w:color w:val="1F497D" w:themeColor="text2"/>
                <w:spacing w:val="1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lang w:val="es-ES"/>
              </w:rPr>
              <w:t>Manejo de las tablas de atributos en QGIS. Creación de campos con diferentes tipos de variables. Selección de datos y operaciones con la Calculadora de campos (aritméticas, lógicas y condicionales). Importar/exportar tablas de atributos. Análisis estadístico.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UNIDAD 4 – SALIDA DE DATOS ESPACIALES EN UN SIG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Teoría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Dispositivos y formatos de salida de datos espaciales. Diseño de Impresión o Mapa: selección de escala, tamaño de papel, adición de elementos auxiliares: títulos, referencias del mapa, escala, norte, otras referencias.</w:t>
            </w:r>
          </w:p>
          <w:p w:rsidR="001C1C89" w:rsidRPr="0074352C" w:rsidRDefault="001C1C89" w:rsidP="001115B5">
            <w:pPr>
              <w:ind w:right="241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Práctica</w:t>
            </w:r>
          </w:p>
          <w:p w:rsidR="001C1C89" w:rsidRPr="0074352C" w:rsidRDefault="001C1C89" w:rsidP="001115B5">
            <w:pPr>
              <w:pStyle w:val="NormalWeb"/>
              <w:spacing w:before="0" w:beforeAutospacing="0" w:after="0"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2"/>
                <w:szCs w:val="22"/>
                <w:lang w:eastAsia="en-U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2"/>
                <w:szCs w:val="22"/>
                <w:lang w:eastAsia="en-US"/>
              </w:rPr>
              <w:t xml:space="preserve">Construcción de un mapa en QGIS: obtención de las capas de datos, armado de la vista del mapa. Selección de la escala apropiada. Creación del archivo de armado de impresión (Layout).  </w:t>
            </w:r>
          </w:p>
          <w:p w:rsidR="001C1C89" w:rsidRPr="0074352C" w:rsidRDefault="001C1C89" w:rsidP="001115B5">
            <w:pPr>
              <w:ind w:right="241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</w:rPr>
            </w:pPr>
          </w:p>
          <w:p w:rsidR="001C1C89" w:rsidRPr="0074352C" w:rsidRDefault="001C1C89" w:rsidP="001115B5">
            <w:pPr>
              <w:ind w:right="241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 xml:space="preserve">UNIDAD 5 – PREPARACION DE LOS DATOS ESPACIALES PARA EL ANALISIS 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Teoría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 xml:space="preserve">Conversión vector-raster: importancia del tamaño del píxel en una capa. Georeferenciación. Transformaciones raster: remuestreo, filtros, recortes. 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Práctica</w:t>
            </w:r>
          </w:p>
          <w:p w:rsidR="001C1C89" w:rsidRPr="0074352C" w:rsidRDefault="001C1C89" w:rsidP="001115B5">
            <w:pPr>
              <w:pStyle w:val="NormalWeb"/>
              <w:spacing w:before="0" w:beforeAutospacing="0" w:after="0"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2"/>
                <w:szCs w:val="22"/>
                <w:lang w:eastAsia="en-U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2"/>
                <w:szCs w:val="22"/>
                <w:lang w:eastAsia="en-US"/>
              </w:rPr>
              <w:t>Conversiones de formato: Conversión Vector-Raster, modificación del tamaño del píxel. Georeferenciación. Configuración de un sistema de coordenadas en QGIS.  Proyecciones cartográficas. WGS84 y UTM. Exportación de datos a otro Sistema de referencia de Coordenadas (SRC).Edición del Sistema de Coordenadas de los datos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UNIDAD 6 –ANALISIS MEDIANTE UN SIG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Teoría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lastRenderedPageBreak/>
              <w:t xml:space="preserve">Análisis de datos espaciales: conceptos y definiciones. Tipos de procedimientos analíticos en un SIG: Operaciones </w:t>
            </w:r>
            <w:r w:rsidR="00A054E7"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raster</w:t>
            </w: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 xml:space="preserve"> y operaciones vectoriales, Operaciones de medición, consulta espacial y reclasificación, operaciones de superposición, operaciones de vecindad y operaciones de conectividad. Aplicaciones de Modelos Digitales de </w:t>
            </w:r>
            <w:r w:rsidR="00A054E7"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Elevaciones</w:t>
            </w: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 xml:space="preserve"> (MDE): cálculo de mapas de pendiente, exposición, relieve relativo, sombreado. Modelamiento cartográfico: conceptos  definiciones. Tipos de modelos cartográficos: modelos descriptivos, prescriptivos y predictivos. Ejemplos de modelos cartográficos aplicados a la Gestión Ambiental.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  <w:t>Práctica</w:t>
            </w:r>
          </w:p>
          <w:p w:rsidR="001C1C89" w:rsidRPr="0074352C" w:rsidRDefault="001C1C89" w:rsidP="001115B5">
            <w:pPr>
              <w:suppressAutoHyphens/>
              <w:jc w:val="both"/>
              <w:rPr>
                <w:rFonts w:ascii="Arial" w:eastAsia="Arial" w:hAnsi="Arial" w:cs="Arial"/>
                <w:color w:val="1F497D" w:themeColor="text2"/>
                <w:spacing w:val="1"/>
                <w:sz w:val="24"/>
                <w:szCs w:val="24"/>
                <w:lang w:val="es-ES"/>
              </w:rPr>
            </w:pPr>
            <w:r w:rsidRPr="0074352C">
              <w:rPr>
                <w:rFonts w:ascii="Arial" w:eastAsia="Arial" w:hAnsi="Arial" w:cs="Arial"/>
                <w:color w:val="1F497D" w:themeColor="text2"/>
                <w:spacing w:val="1"/>
              </w:rPr>
              <w:t>Ejemplo de aplicación de un SIG para la localización de sitios. Operaciones de consultas espaciales y no espaciales. Reclasificación. Operaciones de medición: medición de distancias y áreas. Aplicación de herramientas para el modelamiento del terreno con un DEM: cál</w:t>
            </w:r>
            <w:r w:rsidR="00F37888">
              <w:rPr>
                <w:rFonts w:ascii="Arial" w:eastAsia="Arial" w:hAnsi="Arial" w:cs="Arial"/>
                <w:color w:val="1F497D" w:themeColor="text2"/>
                <w:spacing w:val="1"/>
              </w:rPr>
              <w:t xml:space="preserve">culo de pendiente, sombreado, </w:t>
            </w:r>
            <w:r w:rsidRPr="0074352C">
              <w:rPr>
                <w:rFonts w:ascii="Arial" w:eastAsia="Arial" w:hAnsi="Arial" w:cs="Arial"/>
                <w:color w:val="1F497D" w:themeColor="text2"/>
                <w:spacing w:val="1"/>
              </w:rPr>
              <w:t xml:space="preserve">etc. </w:t>
            </w:r>
          </w:p>
        </w:tc>
      </w:tr>
    </w:tbl>
    <w:p w:rsidR="001C1C89" w:rsidRPr="00EB4738" w:rsidRDefault="001C1C89" w:rsidP="001C1C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</w:p>
    <w:p w:rsidR="001C1C89" w:rsidRPr="00EB4738" w:rsidRDefault="001C1C89" w:rsidP="001C1C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</w:p>
    <w:p w:rsidR="001C1C89" w:rsidRPr="00EB4738" w:rsidRDefault="001C1C89" w:rsidP="001C1C89">
      <w:pPr>
        <w:suppressAutoHyphens/>
        <w:snapToGrid w:val="0"/>
        <w:spacing w:after="0" w:line="240" w:lineRule="auto"/>
        <w:ind w:left="180"/>
        <w:rPr>
          <w:rFonts w:ascii="Arial" w:hAnsi="Arial" w:cs="Arial"/>
          <w:b/>
        </w:rPr>
      </w:pPr>
    </w:p>
    <w:p w:rsidR="007D3909" w:rsidRDefault="007D3909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</w:p>
    <w:p w:rsidR="0074352C" w:rsidRDefault="0074352C" w:rsidP="001C1C89">
      <w:pPr>
        <w:suppressAutoHyphens/>
        <w:jc w:val="both"/>
        <w:rPr>
          <w:b/>
          <w:u w:val="single"/>
        </w:rPr>
      </w:pPr>
      <w:r>
        <w:rPr>
          <w:b/>
          <w:u w:val="single"/>
        </w:rPr>
        <w:t>Datos del Profesor Responsable:</w:t>
      </w:r>
    </w:p>
    <w:p w:rsidR="0074352C" w:rsidRPr="0074352C" w:rsidRDefault="0074352C" w:rsidP="001C1C89">
      <w:pPr>
        <w:suppressAutoHyphens/>
        <w:jc w:val="both"/>
        <w:rPr>
          <w:i/>
        </w:rPr>
      </w:pPr>
      <w:r w:rsidRPr="0074352C">
        <w:rPr>
          <w:i/>
        </w:rPr>
        <w:t>EL Dr. Ojeda es Profesor Asociado simple de la UNVIME a cargo de la asignatura Sistemas de Información Geográfica de la Tecnicatura Superior en Gestión Ambiental</w:t>
      </w:r>
      <w:r>
        <w:rPr>
          <w:i/>
        </w:rPr>
        <w:t>. Además es</w:t>
      </w:r>
      <w:r w:rsidRPr="0074352C">
        <w:rPr>
          <w:i/>
        </w:rPr>
        <w:t xml:space="preserve"> Profesor Asociado Exclusivo de la Universidad Nacional de San </w:t>
      </w:r>
      <w:r>
        <w:rPr>
          <w:i/>
        </w:rPr>
        <w:t>L</w:t>
      </w:r>
      <w:r w:rsidRPr="0074352C">
        <w:rPr>
          <w:i/>
        </w:rPr>
        <w:t xml:space="preserve">uis donde dicta las asignaturas Sistemas de Información Geográfica I, Geoinformática y Geomorfología. </w:t>
      </w:r>
      <w:r>
        <w:rPr>
          <w:i/>
        </w:rPr>
        <w:t xml:space="preserve">Su formación incluye una especialización en SIG y Teledetección en el Instituto Geográfico </w:t>
      </w:r>
      <w:r w:rsidR="001115B5">
        <w:rPr>
          <w:i/>
        </w:rPr>
        <w:t>Agustín</w:t>
      </w:r>
      <w:r>
        <w:rPr>
          <w:i/>
        </w:rPr>
        <w:t xml:space="preserve"> Codazzi de Colombia (1992) y una </w:t>
      </w:r>
      <w:r w:rsidR="001115B5">
        <w:rPr>
          <w:i/>
        </w:rPr>
        <w:t>maestría</w:t>
      </w:r>
      <w:r>
        <w:rPr>
          <w:i/>
        </w:rPr>
        <w:t xml:space="preserve"> en </w:t>
      </w:r>
      <w:r w:rsidRPr="0074352C">
        <w:rPr>
          <w:i/>
        </w:rPr>
        <w:t>Geoinformation Science and Earth Observation</w:t>
      </w:r>
      <w:r>
        <w:rPr>
          <w:i/>
        </w:rPr>
        <w:t xml:space="preserve"> en el </w:t>
      </w:r>
      <w:r w:rsidRPr="0074352C">
        <w:rPr>
          <w:i/>
        </w:rPr>
        <w:t>International Institute for Aerospace Survey and Earth Sciences (ITC). Holanda</w:t>
      </w:r>
      <w:r>
        <w:rPr>
          <w:i/>
        </w:rPr>
        <w:t xml:space="preserve"> (2000). </w:t>
      </w:r>
      <w:bookmarkStart w:id="0" w:name="_GoBack"/>
      <w:bookmarkEnd w:id="0"/>
    </w:p>
    <w:sectPr w:rsidR="0074352C" w:rsidRPr="0074352C" w:rsidSect="00194E4B">
      <w:headerReference w:type="default" r:id="rId8"/>
      <w:footerReference w:type="default" r:id="rId9"/>
      <w:pgSz w:w="12240" w:h="15840"/>
      <w:pgMar w:top="1417" w:right="1183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6E" w:rsidRDefault="0043496E" w:rsidP="00722F88">
      <w:pPr>
        <w:spacing w:after="0" w:line="240" w:lineRule="auto"/>
      </w:pPr>
      <w:r>
        <w:separator/>
      </w:r>
    </w:p>
  </w:endnote>
  <w:endnote w:type="continuationSeparator" w:id="0">
    <w:p w:rsidR="0043496E" w:rsidRDefault="0043496E" w:rsidP="0072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5B5" w:rsidRDefault="001115B5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Elephant" w:hAnsi="Elephant" w:cs="Arial"/>
        <w:i/>
        <w:iCs/>
        <w:sz w:val="18"/>
      </w:rPr>
      <w:t xml:space="preserve"> 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CD5D96" w:rsidRPr="00CD5D96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1115B5" w:rsidRDefault="001115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6E" w:rsidRDefault="0043496E" w:rsidP="00722F88">
      <w:pPr>
        <w:spacing w:after="0" w:line="240" w:lineRule="auto"/>
      </w:pPr>
      <w:r>
        <w:separator/>
      </w:r>
    </w:p>
  </w:footnote>
  <w:footnote w:type="continuationSeparator" w:id="0">
    <w:p w:rsidR="0043496E" w:rsidRDefault="0043496E" w:rsidP="0072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5B5" w:rsidRDefault="001115B5" w:rsidP="00B50304">
    <w:pPr>
      <w:pStyle w:val="Encabezado"/>
      <w:pBdr>
        <w:bottom w:val="thickThinSmallGap" w:sz="24" w:space="11" w:color="622423" w:themeColor="accent2" w:themeShade="7F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3FF1605" wp14:editId="2BFC9F99">
          <wp:simplePos x="0" y="0"/>
          <wp:positionH relativeFrom="column">
            <wp:posOffset>-715096</wp:posOffset>
          </wp:positionH>
          <wp:positionV relativeFrom="paragraph">
            <wp:posOffset>-66520</wp:posOffset>
          </wp:positionV>
          <wp:extent cx="747069" cy="778476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069" cy="7784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w:t xml:space="preserve"> </w:t>
    </w:r>
  </w:p>
  <w:sdt>
    <w:sdtPr>
      <w:rPr>
        <w:rFonts w:ascii="Arial" w:hAnsi="Arial" w:cs="Arial"/>
      </w:rPr>
      <w:alias w:val="Título"/>
      <w:id w:val="77738743"/>
      <w:placeholder>
        <w:docPart w:val="5D50B8700E9D49B7B11AABAEF84185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15B5" w:rsidRDefault="001115B5" w:rsidP="00B50304">
        <w:pPr>
          <w:pStyle w:val="Encabezado"/>
          <w:pBdr>
            <w:bottom w:val="thickThinSmallGap" w:sz="24" w:space="1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Arial" w:hAnsi="Arial" w:cs="Arial"/>
          </w:rPr>
          <w:t>CURSO DE POSGRADO Fundamentos de Sistemas de Información Geográfica (SIG)</w:t>
        </w:r>
      </w:p>
    </w:sdtContent>
  </w:sdt>
  <w:p w:rsidR="001115B5" w:rsidRDefault="001115B5">
    <w:pPr>
      <w:pStyle w:val="Encabezado"/>
    </w:pPr>
  </w:p>
  <w:p w:rsidR="001115B5" w:rsidRDefault="001115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27BBA"/>
    <w:multiLevelType w:val="hybridMultilevel"/>
    <w:tmpl w:val="B54EE734"/>
    <w:lvl w:ilvl="0" w:tplc="C2D867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0742C"/>
    <w:multiLevelType w:val="hybridMultilevel"/>
    <w:tmpl w:val="32FC40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91178"/>
    <w:multiLevelType w:val="hybridMultilevel"/>
    <w:tmpl w:val="C39EF5B4"/>
    <w:lvl w:ilvl="0" w:tplc="C2D867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56F47"/>
    <w:multiLevelType w:val="hybridMultilevel"/>
    <w:tmpl w:val="54CEC83A"/>
    <w:lvl w:ilvl="0" w:tplc="96CC784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65526"/>
    <w:multiLevelType w:val="hybridMultilevel"/>
    <w:tmpl w:val="9ADC78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B54A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8C627A7"/>
    <w:multiLevelType w:val="hybridMultilevel"/>
    <w:tmpl w:val="B854DE40"/>
    <w:lvl w:ilvl="0" w:tplc="4B3EF932">
      <w:numFmt w:val="bullet"/>
      <w:lvlText w:val="•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C1"/>
    <w:rsid w:val="00061359"/>
    <w:rsid w:val="00076C28"/>
    <w:rsid w:val="000F35CF"/>
    <w:rsid w:val="001115B5"/>
    <w:rsid w:val="00166151"/>
    <w:rsid w:val="00194E4B"/>
    <w:rsid w:val="001C1C89"/>
    <w:rsid w:val="00202CD2"/>
    <w:rsid w:val="00243C61"/>
    <w:rsid w:val="002F5F6D"/>
    <w:rsid w:val="00303C1E"/>
    <w:rsid w:val="003154DA"/>
    <w:rsid w:val="00353A2B"/>
    <w:rsid w:val="003B17C1"/>
    <w:rsid w:val="003B60DC"/>
    <w:rsid w:val="003C3757"/>
    <w:rsid w:val="003C621E"/>
    <w:rsid w:val="0043496E"/>
    <w:rsid w:val="00462281"/>
    <w:rsid w:val="004B5627"/>
    <w:rsid w:val="004C0922"/>
    <w:rsid w:val="004C6FEB"/>
    <w:rsid w:val="004E4CEA"/>
    <w:rsid w:val="0051505D"/>
    <w:rsid w:val="00543CF2"/>
    <w:rsid w:val="00582502"/>
    <w:rsid w:val="0062728E"/>
    <w:rsid w:val="0068724E"/>
    <w:rsid w:val="00722F88"/>
    <w:rsid w:val="0074352C"/>
    <w:rsid w:val="007C7C20"/>
    <w:rsid w:val="007D3909"/>
    <w:rsid w:val="00862A22"/>
    <w:rsid w:val="0090451F"/>
    <w:rsid w:val="00980B55"/>
    <w:rsid w:val="009E2331"/>
    <w:rsid w:val="00A00CD4"/>
    <w:rsid w:val="00A054E7"/>
    <w:rsid w:val="00AA14BD"/>
    <w:rsid w:val="00AF06C7"/>
    <w:rsid w:val="00AF2BD6"/>
    <w:rsid w:val="00AF5654"/>
    <w:rsid w:val="00B477BE"/>
    <w:rsid w:val="00B50304"/>
    <w:rsid w:val="00C00450"/>
    <w:rsid w:val="00C20A04"/>
    <w:rsid w:val="00C74E3D"/>
    <w:rsid w:val="00C86780"/>
    <w:rsid w:val="00CA3254"/>
    <w:rsid w:val="00CB47B2"/>
    <w:rsid w:val="00CC060A"/>
    <w:rsid w:val="00CD5D96"/>
    <w:rsid w:val="00D2593C"/>
    <w:rsid w:val="00DC32CE"/>
    <w:rsid w:val="00DC4278"/>
    <w:rsid w:val="00E6017C"/>
    <w:rsid w:val="00E75302"/>
    <w:rsid w:val="00EF32B0"/>
    <w:rsid w:val="00F027A0"/>
    <w:rsid w:val="00F02CE7"/>
    <w:rsid w:val="00F236DC"/>
    <w:rsid w:val="00F37888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DFA46F-0FA4-4997-92BA-5FFDAFFC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0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7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2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F88"/>
  </w:style>
  <w:style w:type="paragraph" w:styleId="Piedepgina">
    <w:name w:val="footer"/>
    <w:basedOn w:val="Normal"/>
    <w:link w:val="PiedepginaCar"/>
    <w:uiPriority w:val="99"/>
    <w:unhideWhenUsed/>
    <w:rsid w:val="00722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F88"/>
  </w:style>
  <w:style w:type="paragraph" w:styleId="Textodeglobo">
    <w:name w:val="Balloon Text"/>
    <w:basedOn w:val="Normal"/>
    <w:link w:val="TextodegloboCar"/>
    <w:uiPriority w:val="99"/>
    <w:semiHidden/>
    <w:unhideWhenUsed/>
    <w:rsid w:val="0072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F88"/>
    <w:rPr>
      <w:rFonts w:ascii="Tahoma" w:hAnsi="Tahoma" w:cs="Tahoma"/>
      <w:sz w:val="16"/>
      <w:szCs w:val="16"/>
    </w:rPr>
  </w:style>
  <w:style w:type="table" w:styleId="Listavistosa-nfasis6">
    <w:name w:val="Colorful List Accent 6"/>
    <w:basedOn w:val="Tablanormal"/>
    <w:uiPriority w:val="72"/>
    <w:rsid w:val="00B503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50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nhideWhenUsed/>
    <w:rsid w:val="0054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543CF2"/>
  </w:style>
  <w:style w:type="table" w:styleId="Tablaconcuadrcula">
    <w:name w:val="Table Grid"/>
    <w:basedOn w:val="Tablanormal"/>
    <w:rsid w:val="001C1C89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50B8700E9D49B7B11AABAEF841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A7740-B13F-422D-A4DC-CD34ED28D0C5}"/>
      </w:docPartPr>
      <w:docPartBody>
        <w:p w:rsidR="005F2BBF" w:rsidRDefault="00276523" w:rsidP="00276523">
          <w:pPr>
            <w:pStyle w:val="5D50B8700E9D49B7B11AABAEF841857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523"/>
    <w:rsid w:val="00276523"/>
    <w:rsid w:val="00493E27"/>
    <w:rsid w:val="00525576"/>
    <w:rsid w:val="005F2BBF"/>
    <w:rsid w:val="00627C1E"/>
    <w:rsid w:val="0089377F"/>
    <w:rsid w:val="0093615F"/>
    <w:rsid w:val="009843D2"/>
    <w:rsid w:val="00A7388C"/>
    <w:rsid w:val="00C1418A"/>
    <w:rsid w:val="00C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86A2719C5149F7A6E5B35D073321D8">
    <w:name w:val="F986A2719C5149F7A6E5B35D073321D8"/>
    <w:rsid w:val="00276523"/>
  </w:style>
  <w:style w:type="paragraph" w:customStyle="1" w:styleId="541159305750427E825C1E70809D01B5">
    <w:name w:val="541159305750427E825C1E70809D01B5"/>
    <w:rsid w:val="00276523"/>
  </w:style>
  <w:style w:type="paragraph" w:customStyle="1" w:styleId="D15E4FA3429240E4A6994BD2C269320C">
    <w:name w:val="D15E4FA3429240E4A6994BD2C269320C"/>
    <w:rsid w:val="00276523"/>
  </w:style>
  <w:style w:type="paragraph" w:customStyle="1" w:styleId="94A0ABE49D70446C87F6963CC5E40B7D">
    <w:name w:val="94A0ABE49D70446C87F6963CC5E40B7D"/>
    <w:rsid w:val="00276523"/>
  </w:style>
  <w:style w:type="paragraph" w:customStyle="1" w:styleId="5D50B8700E9D49B7B11AABAEF8418570">
    <w:name w:val="5D50B8700E9D49B7B11AABAEF8418570"/>
    <w:rsid w:val="00276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POSGRADO Fundamentos de Sistemas de Información Geográfica (SIG)</vt:lpstr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POSGRADO Fundamentos de Sistemas de Información Geográfica (SIG)</dc:title>
  <dc:creator>Geo</dc:creator>
  <cp:lastModifiedBy>Usuario de Windows</cp:lastModifiedBy>
  <cp:revision>5</cp:revision>
  <cp:lastPrinted>2015-06-23T18:08:00Z</cp:lastPrinted>
  <dcterms:created xsi:type="dcterms:W3CDTF">2019-05-06T14:43:00Z</dcterms:created>
  <dcterms:modified xsi:type="dcterms:W3CDTF">2019-05-06T19:58:00Z</dcterms:modified>
</cp:coreProperties>
</file>